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>
        <w:rPr>
          <w:rFonts w:ascii="Liberation Serif" w:hAnsi="Liberation Serif"/>
          <w:i/>
          <w:iCs/>
          <w:u w:val="single"/>
        </w:rPr>
        <w:t>1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>
      <w:pPr>
        <w:pStyle w:val="Normal"/>
        <w:jc w:val="center"/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</w:rPr>
        <w:t>силового двухобмоточного трансформатора</w:t>
      </w:r>
    </w:p>
    <w:p>
      <w:pPr>
        <w:pStyle w:val="Normal"/>
        <w:jc w:val="center"/>
        <w:rPr>
          <w:rFonts w:ascii="Liberation Serif" w:hAnsi="Liberation Serif"/>
          <w:b/>
          <w:b/>
          <w:i/>
          <w:i/>
        </w:rPr>
      </w:pPr>
      <w:bookmarkStart w:id="0" w:name="_GoBack"/>
      <w:bookmarkEnd w:id="0"/>
      <w:r>
        <w:rPr>
          <w:rFonts w:ascii="Liberation Serif" w:hAnsi="Liberation Serif"/>
          <w:b/>
          <w:i/>
        </w:rPr>
        <w:t>ТМН-6300/110/6</w:t>
      </w:r>
    </w:p>
    <w:p>
      <w:pPr>
        <w:pStyle w:val="Normal"/>
        <w:tabs>
          <w:tab w:val="left" w:pos="6480" w:leader="none"/>
        </w:tabs>
        <w:rPr>
          <w:rFonts w:ascii="Liberation Serif" w:hAnsi="Liberation Serif"/>
          <w:b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ind w:left="1080" w:hanging="1080"/>
        <w:jc w:val="both"/>
        <w:rPr>
          <w:rFonts w:ascii="Liberation Serif" w:hAnsi="Liberation Serif"/>
          <w:i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>
        <w:rPr>
          <w:rFonts w:ascii="Liberation Serif" w:hAnsi="Liberation Serif"/>
          <w:i/>
          <w:iCs/>
          <w:u w:val="single"/>
        </w:rPr>
        <w:t>110 кВ Соболь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5000" w:type="pct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0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182"/>
        <w:gridCol w:w="2034"/>
        <w:gridCol w:w="1253"/>
        <w:gridCol w:w="1650"/>
        <w:gridCol w:w="2266"/>
        <w:gridCol w:w="1980"/>
        <w:gridCol w:w="2042"/>
        <w:gridCol w:w="2729"/>
      </w:tblGrid>
      <w:tr>
        <w:trPr>
          <w:trHeight w:val="684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 xml:space="preserve">№ </w:t>
            </w:r>
            <w:r>
              <w:rPr>
                <w:rFonts w:ascii="Liberation Serif" w:hAnsi="Liberation Serif"/>
                <w:b/>
              </w:rPr>
              <w:t>п/п</w:t>
            </w:r>
          </w:p>
        </w:tc>
        <w:tc>
          <w:tcPr>
            <w:tcW w:w="4937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2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>
        <w:trPr>
          <w:trHeight w:val="684" w:hRule="atLeast"/>
        </w:trPr>
        <w:tc>
          <w:tcPr>
            <w:tcW w:w="1182" w:type="dxa"/>
            <w:vMerge w:val="continue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937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266" w:type="dxa"/>
            <w:vMerge w:val="continue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29" w:type="dxa"/>
            <w:vMerge w:val="continue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Указать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ТМН-6300/110/6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Декларация о соответствии.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Номинальная мощность обмоток, кВА </w:t>
            </w:r>
            <w:r>
              <w:rPr>
                <w:rFonts w:eastAsia="Calibri" w:ascii="Liberation Serif" w:hAnsi="Liberation Serif"/>
                <w:lang w:eastAsia="en-US"/>
              </w:rPr>
              <w:t>(ГОСТ 9680 п.2)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6300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6300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Номинальное напряжение, кВ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115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6,6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Ун/Д-11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  <w:t>Напряжение короткого замыкания, кВА, %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ВН-НН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10,5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холостого хода, не более, кВт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44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 w:ascii="Liberation Serif" w:hAnsi="Liberation Serif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i/>
                <w:i/>
                <w:iCs/>
                <w:lang w:eastAsia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 xml:space="preserve">РПН в нейтрали ВН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± 16 %; ± 9 ступеней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материалам (марки, типы и производители основных комплектующих)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ГК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A"/>
              </w:rPr>
            </w:pPr>
            <w:r>
              <w:rPr>
                <w:rFonts w:eastAsia="Calibri" w:ascii="Liberation Serif" w:hAnsi="Liberation Serif"/>
                <w:color w:val="00000A"/>
                <w:lang w:eastAsia="en-US"/>
              </w:rPr>
              <w:t>Негорючая изоляция (нгLS)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конструкции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ВН (</w:t>
            </w:r>
            <w:r>
              <w:rPr>
                <w:rFonts w:ascii="Liberation Serif" w:hAnsi="Liberation Serif"/>
                <w:spacing w:val="-2"/>
              </w:rPr>
              <w:t>с твердой изоляцией или маслоподпорный)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spacing w:val="-2"/>
                <w:lang w:eastAsia="en-US"/>
              </w:rPr>
              <w:t>С твердой изоляцией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НН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spacing w:val="-2"/>
              </w:rPr>
              <w:t>маслоподпорный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7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RIN изоляция</w:t>
            </w:r>
          </w:p>
        </w:tc>
        <w:tc>
          <w:tcPr>
            <w:tcW w:w="19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Удельная длина пути утечки внешней изоляции по ПУЭ 7-го издания, см/кВ, не менее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2,5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rPr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7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длина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ширина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габаритный и сборочный чертежи</w:t>
            </w:r>
          </w:p>
        </w:tc>
        <w:tc>
          <w:tcPr>
            <w:tcW w:w="272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Масса, кг, не более: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полная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 вводах ВН: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Первичный ток, 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- для защиты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измерения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300-200-150-100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10</w:t>
            </w: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FFFF00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3.3.5</w:t>
            </w:r>
          </w:p>
        </w:tc>
        <w:tc>
          <w:tcPr>
            <w:tcW w:w="20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3  – измерение</w:t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0.2S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паспорт;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руководство по эксплуатации,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копии протоколов приёмо-сдаточных испытаний;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Устройство регулирования напряжения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Марка, производитель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  <w:t>Указывается   поставщиком/изготовителем.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500 000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двигателей</w:t>
              <w:tab/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управления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lang w:eastAsia="en-US"/>
              </w:rPr>
            </w:pPr>
            <w:r>
              <w:rPr>
                <w:rFonts w:eastAsia="Calibri" w:ascii="Liberation Serif" w:hAnsi="Liberation Serif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380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220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привода устройства РПН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Моторный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7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Привод устройства РПН должен обеспечивать управление: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>
            <w:pPr>
              <w:pStyle w:val="Standard"/>
              <w:widowControl w:val="false"/>
              <w:rPr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  <w:t>-автоматическое - от блока автоматического управления.</w:t>
            </w:r>
          </w:p>
        </w:tc>
        <w:tc>
          <w:tcPr>
            <w:tcW w:w="226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Standard"/>
              <w:widowControl w:val="false"/>
              <w:jc w:val="center"/>
              <w:rPr>
                <w:rFonts w:ascii="Liberation Serif" w:hAnsi="Liberation Serif"/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</w:r>
          </w:p>
          <w:p>
            <w:pPr>
              <w:pStyle w:val="Standard"/>
              <w:widowControl w:val="false"/>
              <w:jc w:val="center"/>
              <w:rPr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72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Навесная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729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Пластинчатая (плоскоштампованные радиаторы, оцинкованные методом горячего оцинкования с покраской,)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80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380/⁓220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220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612" w:hRule="atLeast"/>
        </w:trPr>
        <w:tc>
          <w:tcPr>
            <w:tcW w:w="1182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4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Технические требования к конструкции, изготовлению и материалам</w:t>
            </w:r>
          </w:p>
        </w:tc>
      </w:tr>
      <w:tr>
        <w:trPr>
          <w:trHeight w:val="277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Уровень разъема бака согласно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Заземление активной части (с выводом наружу бака)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Режим работы нейтрали ВН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Глухое заземление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(допускается работа с разземленной нейтралью при условии защиты нейтрали)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Нет 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термосифонного фильтра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Газовое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основном баке -  с двумя н. о. контактами на откл.  и двумя н.о. контактами  на сигнал 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Струйное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баке РПН - с двумя н. о. контактами на откл.  и  один   н.о. контакт  на сигнал 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и производитель необслуживаемого воздухоосушителя: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Standard"/>
              <w:widowControl w:val="false"/>
              <w:ind w:left="-79" w:right="-79" w:hanging="0"/>
              <w:jc w:val="center"/>
              <w:rPr>
                <w:rFonts w:ascii="Liberation Serif" w:hAnsi="Liberation Serif"/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</w:r>
          </w:p>
          <w:p>
            <w:pPr>
              <w:pStyle w:val="Standard"/>
              <w:widowControl w:val="false"/>
              <w:ind w:left="-79" w:right="-79" w:hanging="0"/>
              <w:jc w:val="center"/>
              <w:rPr>
                <w:rFonts w:ascii="Liberation Serif" w:hAnsi="Liberation Serif"/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</w:r>
          </w:p>
          <w:p>
            <w:pPr>
              <w:pStyle w:val="Standard"/>
              <w:widowControl w:val="false"/>
              <w:ind w:left="-79" w:right="-79" w:hanging="0"/>
              <w:jc w:val="center"/>
              <w:rPr>
                <w:color w:val="00000A"/>
              </w:rPr>
            </w:pPr>
            <w:r>
              <w:rPr>
                <w:rFonts w:ascii="Liberation Serif" w:hAnsi="Liberation Serif"/>
                <w:color w:val="00000A"/>
              </w:rPr>
              <w:t>Указать марку и производителя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уплотнительной резины не менее, лет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Отсутствие необходимости подпрессовки обмоток и магнитопровода на весь срок службы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Серый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местах прохода контрольных кабелей в клеммные коробки, шкафы управления, приводы 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</w:rPr>
              <w:t>УХЛ1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надежности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безопасности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eastAsia="Calibri" w:ascii="Liberation Serif" w:hAnsi="Liberation Serif" w:eastAsiaTheme="minorHAnsi"/>
                <w:lang w:eastAsia="en-US"/>
              </w:rPr>
              <w:t>16.11.2020 N 782н)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 маслом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9.7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один или два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 для отбора проб газа из газового реле без подъема на трансформатор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Шкафы управления и сигнализации должны быть оцинкованными или изготовлены из нержавеющих материалов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автоматическое поддержание температуры внутри шкафа для нормальной работы в соответствии с климатическим исполнением трансформатора;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</w:rPr>
            </w:pPr>
            <w:r>
              <w:rPr>
                <w:rFonts w:ascii="Liberation Serif" w:hAnsi="Liberation Serif"/>
                <w:i/>
                <w:iCs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Расположение домкратных площадок и проушин для подъёма должно быть на дне бака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Да, на этапе проведения закупки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Эксплуатационная документация (Технический паспорт, Протоколы испытаний, Руководство по эксплуатации и техническое описание) на русском языке, экз./ компл. и в электронном виде.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экз.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Маркировка, упаковка, транспортировка, условия хранения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Продольно–поперечное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да, с ребордой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По ГОСТ 52</w:t>
            </w:r>
            <w:r>
              <w:rPr>
                <w:rFonts w:ascii="Liberation Serif" w:hAnsi="Liberation Serif"/>
                <w:lang w:val="en-US"/>
              </w:rPr>
              <w:t>7</w:t>
            </w:r>
            <w:r>
              <w:rPr>
                <w:rFonts w:ascii="Liberation Serif" w:hAnsi="Liberation Serif"/>
              </w:rPr>
              <w:t>19-2007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Дополнительные требования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внешней изоляции вводов ВН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магнитопровода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Полный косой стык, схема стэп-лэп.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Указатель температуры масла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Приборы мониторинга температуры трансформатора ТМТ2 - 2 шт.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7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Контактные наконечники для подсоединения к шинному мосту </w:t>
            </w:r>
            <w:r>
              <w:rPr>
                <w:rFonts w:ascii="Liberation Serif" w:hAnsi="Liberation Serif"/>
              </w:rPr>
              <w:t>110,</w:t>
            </w:r>
            <w:r>
              <w:rPr>
                <w:rFonts w:ascii="Liberation Serif" w:hAnsi="Liberation Serif"/>
              </w:rPr>
              <w:t xml:space="preserve"> 6 кВ</w:t>
            </w:r>
          </w:p>
        </w:tc>
        <w:tc>
          <w:tcPr>
            <w:tcW w:w="226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Металлорукав по баку трансформатора для прокладки силовых и контрольных кабелей системы охлаждения, контрольных кабелей от приборов контроля, сигнализации, защиты трансформаторов тока до клеммных шкафов (да, нет)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14.9</w:t>
            </w:r>
          </w:p>
        </w:tc>
        <w:tc>
          <w:tcPr>
            <w:tcW w:w="493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Вывод трансформатора из транспортного состояния (для длительного хранения) на объекте Заказчика с участием специалиста завода-изготовителя (в т.ч. для сохранения гарантии)</w:t>
            </w:r>
          </w:p>
        </w:tc>
        <w:tc>
          <w:tcPr>
            <w:tcW w:w="2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bookmarkStart w:id="1" w:name="__DdeLink__44332_2533136358"/>
            <w:bookmarkEnd w:id="1"/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/>
              <w:t>14.10</w:t>
            </w:r>
          </w:p>
        </w:tc>
        <w:tc>
          <w:tcPr>
            <w:tcW w:w="4937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Оборудование для постановки на фундамент и ввода в работу (гидротолкатели, дегазационная установка), поставляется в комплекте с ЗиП да/нет</w:t>
            </w:r>
          </w:p>
        </w:tc>
        <w:tc>
          <w:tcPr>
            <w:tcW w:w="226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Да</w:t>
            </w:r>
          </w:p>
        </w:tc>
        <w:tc>
          <w:tcPr>
            <w:tcW w:w="198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ind w:left="1080" w:hanging="1080"/>
        <w:jc w:val="both"/>
        <w:rPr>
          <w:rFonts w:ascii="Liberation Serif" w:hAnsi="Liberation Serif"/>
          <w:b/>
          <w:b/>
          <w:bCs/>
          <w:lang w:val="x-none" w:eastAsia="x-none"/>
        </w:rPr>
      </w:pPr>
      <w:r>
        <w:rPr>
          <w:rFonts w:ascii="Liberation Serif" w:hAnsi="Liberation Serif"/>
          <w:b/>
          <w:bCs/>
          <w:lang w:val="x-none" w:eastAsia="x-none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Примечания: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Во всем неоговоренном силовые трансформаторы должны соответствовать требованиям ГОСТ 12965-85, ГОСТ Р 52719-2007.</w:t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Verdana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9a3d82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next w:val="Normal"/>
    <w:link w:val="211"/>
    <w:qFormat/>
    <w:rsid w:val="009a3d82"/>
    <w:pPr>
      <w:keepNext w:val="true"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Normal"/>
    <w:next w:val="Normal"/>
    <w:link w:val="31"/>
    <w:qFormat/>
    <w:rsid w:val="009a3d82"/>
    <w:pPr>
      <w:keepNext w:val="true"/>
      <w:tabs>
        <w:tab w:val="left" w:pos="720" w:leader="none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9a3d82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Normal"/>
    <w:next w:val="Normal"/>
    <w:link w:val="51"/>
    <w:uiPriority w:val="99"/>
    <w:qFormat/>
    <w:rsid w:val="009a3d82"/>
    <w:pPr>
      <w:keepNext w:val="true"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"/>
    <w:uiPriority w:val="99"/>
    <w:qFormat/>
    <w:rsid w:val="009a3d82"/>
    <w:pPr>
      <w:keepNext w:val="true"/>
      <w:jc w:val="both"/>
      <w:outlineLvl w:val="5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9a3d82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9a3d8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qFormat/>
    <w:rsid w:val="009a3d82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9a3d82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9a3d82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a3d82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9a3d82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9a3d82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9a3d82"/>
    <w:rPr/>
  </w:style>
  <w:style w:type="character" w:styleId="Strong">
    <w:name w:val="Strong"/>
    <w:uiPriority w:val="22"/>
    <w:qFormat/>
    <w:rsid w:val="009a3d82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9a3d82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9a3d82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8"/>
    <w:qFormat/>
    <w:rsid w:val="009a3d82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9a3d82"/>
    <w:rPr>
      <w:sz w:val="28"/>
    </w:rPr>
  </w:style>
  <w:style w:type="character" w:styleId="Style16">
    <w:name w:val="Интернет-ссылка"/>
    <w:uiPriority w:val="99"/>
    <w:unhideWhenUsed/>
    <w:rsid w:val="009a3d82"/>
    <w:rPr>
      <w:color w:val="0000FF"/>
      <w:u w:val="single"/>
    </w:rPr>
  </w:style>
  <w:style w:type="character" w:styleId="FollowedHyperlink">
    <w:name w:val="FollowedHyperlink"/>
    <w:uiPriority w:val="99"/>
    <w:unhideWhenUsed/>
    <w:qFormat/>
    <w:rsid w:val="009a3d82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9a3d82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9a3d82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9a3d8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9a3d82"/>
    <w:rPr>
      <w:rFonts w:cs="Times New Roman"/>
      <w:i/>
      <w:iCs/>
      <w:shd w:fill="FFFFFF" w:val="clear"/>
    </w:rPr>
  </w:style>
  <w:style w:type="character" w:styleId="13" w:customStyle="1">
    <w:name w:val="Основной текст Знак1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9a3d82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9a3d82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Style22">
    <w:name w:val="Привязка сноски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9a3d82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9a3d82"/>
    <w:rPr>
      <w:rFonts w:cs="Times New Roman"/>
    </w:rPr>
  </w:style>
  <w:style w:type="character" w:styleId="Style24" w:customStyle="1">
    <w:name w:val="Подподпункт Знак"/>
    <w:link w:val="Style42"/>
    <w:qFormat/>
    <w:locked/>
    <w:rsid w:val="009a3d8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9a3d8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Выделение"/>
    <w:uiPriority w:val="20"/>
    <w:qFormat/>
    <w:rsid w:val="009a3d82"/>
    <w:rPr>
      <w:rFonts w:cs="Times New Roman"/>
      <w:i/>
      <w:iCs/>
    </w:rPr>
  </w:style>
  <w:style w:type="character" w:styleId="Defaultlabelstyle1" w:customStyle="1">
    <w:name w:val="defaultlabelstyle1"/>
    <w:qFormat/>
    <w:rsid w:val="009a3d82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9a3d82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9a3d82"/>
    <w:rPr>
      <w:sz w:val="23"/>
      <w:szCs w:val="23"/>
      <w:shd w:fill="FFFFFF" w:val="clear"/>
    </w:rPr>
  </w:style>
  <w:style w:type="character" w:styleId="Numbers" w:customStyle="1">
    <w:name w:val="numbers"/>
    <w:qFormat/>
    <w:rsid w:val="009a3d82"/>
    <w:rPr/>
  </w:style>
  <w:style w:type="character" w:styleId="14" w:customStyle="1">
    <w:name w:val="Таблица 1 Знак"/>
    <w:link w:val="110"/>
    <w:qFormat/>
    <w:locked/>
    <w:rsid w:val="009a3d82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49"/>
    <w:qFormat/>
    <w:locked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9a3d82"/>
    <w:rPr>
      <w:rFonts w:ascii="Arial" w:hAnsi="Arial" w:eastAsia="Times New Roman" w:cs="Arial"/>
      <w:lang w:val="x-none" w:eastAsia="x-none"/>
    </w:rPr>
  </w:style>
  <w:style w:type="character" w:styleId="Fontstyle01" w:customStyle="1">
    <w:name w:val="fontstyle01"/>
    <w:qFormat/>
    <w:rsid w:val="0058507a"/>
    <w:rPr>
      <w:rFonts w:ascii="TimesNewRomanPSMT" w:hAnsi="TimesNewRomanPSMT"/>
      <w:b w:val="false"/>
      <w:bCs w:val="false"/>
      <w:i w:val="false"/>
      <w:iCs w:val="false"/>
      <w:color w:val="000000"/>
      <w:sz w:val="22"/>
      <w:szCs w:val="22"/>
    </w:rPr>
  </w:style>
  <w:style w:type="character" w:styleId="15" w:customStyle="1">
    <w:name w:val="Знак примечания1"/>
    <w:qFormat/>
    <w:rPr>
      <w:sz w:val="16"/>
      <w:szCs w:val="16"/>
    </w:rPr>
  </w:style>
  <w:style w:type="character" w:styleId="ListLabel1">
    <w:name w:val="ListLabel 1"/>
    <w:qFormat/>
    <w:rPr>
      <w:b w:val="fals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5"/>
    <w:rsid w:val="009a3d82"/>
    <w:pPr>
      <w:spacing w:before="0" w:after="120"/>
    </w:pPr>
    <w:rPr>
      <w:rFonts w:ascii="Calibri" w:hAnsi="Calibri" w:eastAsia="Calibri" w:cs="" w:asciiTheme="minorHAnsi" w:cstheme="minorBidi" w:eastAsiaTheme="minorHAnsi" w:hAnsiTheme="minorHAnsi"/>
      <w:sz w:val="28"/>
      <w:szCs w:val="22"/>
      <w:lang w:eastAsia="en-US"/>
    </w:rPr>
  </w:style>
  <w:style w:type="paragraph" w:styleId="Style30">
    <w:name w:val="List"/>
    <w:basedOn w:val="Style29"/>
    <w:pPr/>
    <w:rPr>
      <w:rFonts w:cs="Arial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link w:val="Style19"/>
    <w:uiPriority w:val="99"/>
    <w:qFormat/>
    <w:rsid w:val="009a3d82"/>
    <w:pPr>
      <w:jc w:val="center"/>
    </w:pPr>
    <w:rPr>
      <w:rFonts w:ascii="Cambria" w:hAnsi="Cambria"/>
      <w:b/>
      <w:bCs/>
      <w:sz w:val="32"/>
      <w:szCs w:val="3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1" w:customStyle="1">
    <w:name w:val="index heading1"/>
    <w:basedOn w:val="Style33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" w:customStyle="1">
    <w:name w:val="index heading11"/>
    <w:basedOn w:val="Style33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" w:customStyle="1">
    <w:name w:val="index heading111"/>
    <w:basedOn w:val="Style33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1" w:customStyle="1">
    <w:name w:val="index heading1111"/>
    <w:basedOn w:val="Style33"/>
    <w:qFormat/>
    <w:pPr/>
    <w:rPr/>
  </w:style>
  <w:style w:type="paragraph" w:styleId="Style51" w:customStyle="1">
    <w:name w:val="Style5"/>
    <w:basedOn w:val="Normal"/>
    <w:uiPriority w:val="99"/>
    <w:qFormat/>
    <w:rsid w:val="009a3d82"/>
    <w:pPr>
      <w:widowControl w:val="false"/>
      <w:spacing w:lineRule="exact" w:line="320"/>
      <w:ind w:firstLine="706"/>
      <w:jc w:val="both"/>
    </w:pPr>
    <w:rPr/>
  </w:style>
  <w:style w:type="paragraph" w:styleId="Style34">
    <w:name w:val="Body Text Indent"/>
    <w:basedOn w:val="Normal"/>
    <w:link w:val="Style8"/>
    <w:uiPriority w:val="99"/>
    <w:rsid w:val="009a3d82"/>
    <w:pPr>
      <w:spacing w:before="0" w:after="120"/>
      <w:ind w:left="283" w:hanging="0"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a3d82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10"/>
    <w:unhideWhenUsed/>
    <w:qFormat/>
    <w:rsid w:val="009a3d82"/>
    <w:pPr/>
    <w:rPr>
      <w:sz w:val="20"/>
      <w:szCs w:val="20"/>
    </w:rPr>
  </w:style>
  <w:style w:type="paragraph" w:styleId="Annotationsubject">
    <w:name w:val="annotation subject"/>
    <w:basedOn w:val="Annotationtext"/>
    <w:link w:val="Style11"/>
    <w:unhideWhenUsed/>
    <w:qFormat/>
    <w:rsid w:val="009a3d82"/>
    <w:pPr/>
    <w:rPr>
      <w:b/>
      <w:bCs/>
    </w:rPr>
  </w:style>
  <w:style w:type="paragraph" w:styleId="ListParagraph">
    <w:name w:val="List Paragraph"/>
    <w:basedOn w:val="Normal"/>
    <w:uiPriority w:val="34"/>
    <w:qFormat/>
    <w:rsid w:val="009a3d82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Default" w:customStyle="1">
    <w:name w:val="Default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9a3d82"/>
    <w:pPr>
      <w:tabs>
        <w:tab w:val="center" w:pos="4677" w:leader="none"/>
        <w:tab w:val="right" w:pos="9355" w:leader="none"/>
      </w:tabs>
    </w:pPr>
    <w:rPr/>
  </w:style>
  <w:style w:type="paragraph" w:styleId="Style37">
    <w:name w:val="Footer"/>
    <w:basedOn w:val="Normal"/>
    <w:link w:val="Style13"/>
    <w:uiPriority w:val="99"/>
    <w:unhideWhenUsed/>
    <w:rsid w:val="009a3d82"/>
    <w:pPr>
      <w:tabs>
        <w:tab w:val="center" w:pos="4677" w:leader="none"/>
        <w:tab w:val="right" w:pos="9355" w:leader="none"/>
      </w:tabs>
    </w:pPr>
    <w:rPr/>
  </w:style>
  <w:style w:type="paragraph" w:styleId="Revision">
    <w:name w:val="Revision"/>
    <w:uiPriority w:val="99"/>
    <w:semiHidden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9a3d82"/>
    <w:pPr>
      <w:ind w:left="567" w:hanging="0"/>
      <w:jc w:val="both"/>
    </w:pPr>
    <w:rPr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9a3d82"/>
    <w:pPr/>
    <w:rPr>
      <w:rFonts w:ascii="Courier New" w:hAnsi="Courier New"/>
      <w:b/>
      <w:sz w:val="20"/>
      <w:szCs w:val="20"/>
    </w:rPr>
  </w:style>
  <w:style w:type="paragraph" w:styleId="Style38" w:customStyle="1">
    <w:name w:val="Пункт"/>
    <w:basedOn w:val="Normal"/>
    <w:link w:val="12"/>
    <w:qFormat/>
    <w:rsid w:val="009a3d82"/>
    <w:pPr>
      <w:spacing w:lineRule="auto" w:line="360"/>
      <w:jc w:val="both"/>
    </w:pPr>
    <w:rPr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9a3d82"/>
    <w:pPr>
      <w:keepNext w:val="true"/>
      <w:spacing w:before="40" w:after="40"/>
      <w:ind w:left="57" w:right="57" w:hanging="0"/>
    </w:pPr>
    <w:rPr>
      <w:sz w:val="22"/>
    </w:rPr>
  </w:style>
  <w:style w:type="paragraph" w:styleId="Style40" w:customStyle="1">
    <w:name w:val="Таблица текст"/>
    <w:basedOn w:val="Normal"/>
    <w:qFormat/>
    <w:rsid w:val="009a3d82"/>
    <w:pPr>
      <w:spacing w:before="40" w:after="40"/>
      <w:ind w:left="57" w:right="57" w:hanging="0"/>
    </w:pPr>
    <w:rPr/>
  </w:style>
  <w:style w:type="paragraph" w:styleId="Style41" w:customStyle="1">
    <w:name w:val="Знак Знак Знак Знак Знак Знак"/>
    <w:basedOn w:val="Normal"/>
    <w:qFormat/>
    <w:rsid w:val="009a3d82"/>
    <w:pPr>
      <w:tabs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2" w:customStyle="1">
    <w:name w:val="Подподпункт"/>
    <w:basedOn w:val="Normal"/>
    <w:link w:val="Style24"/>
    <w:qFormat/>
    <w:rsid w:val="009a3d82"/>
    <w:pPr>
      <w:widowControl w:val="false"/>
      <w:spacing w:lineRule="auto" w:line="360"/>
      <w:jc w:val="both"/>
      <w:textAlignment w:val="baseline"/>
    </w:pPr>
    <w:rPr>
      <w:sz w:val="28"/>
      <w:szCs w:val="20"/>
    </w:rPr>
  </w:style>
  <w:style w:type="paragraph" w:styleId="52" w:customStyle="1">
    <w:name w:val="заголовок 5"/>
    <w:basedOn w:val="Normal"/>
    <w:next w:val="Normal"/>
    <w:qFormat/>
    <w:rsid w:val="009a3d82"/>
    <w:pPr>
      <w:widowControl w:val="false"/>
      <w:tabs>
        <w:tab w:val="left" w:pos="1008" w:leader="none"/>
      </w:tabs>
      <w:spacing w:before="240" w:after="60"/>
      <w:ind w:left="1008" w:hanging="1008"/>
    </w:pPr>
    <w:rPr>
      <w:szCs w:val="20"/>
    </w:rPr>
  </w:style>
  <w:style w:type="paragraph" w:styleId="16" w:customStyle="1">
    <w:name w:val="Цитата1"/>
    <w:basedOn w:val="Normal"/>
    <w:uiPriority w:val="99"/>
    <w:qFormat/>
    <w:rsid w:val="009a3d82"/>
    <w:pPr>
      <w:shd w:val="clear" w:color="auto" w:fill="FFFFFF"/>
      <w:spacing w:lineRule="auto" w:line="360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NoSpacing">
    <w:name w:val="No Spacing"/>
    <w:link w:val="Style17"/>
    <w:uiPriority w:val="1"/>
    <w:qFormat/>
    <w:rsid w:val="009a3d8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9a3d82"/>
    <w:pPr>
      <w:tabs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9a3d82"/>
    <w:pPr/>
    <w:rPr/>
  </w:style>
  <w:style w:type="paragraph" w:styleId="ConsPlusNormal" w:customStyle="1">
    <w:name w:val="ConsPlusNormal"/>
    <w:uiPriority w:val="99"/>
    <w:qFormat/>
    <w:rsid w:val="009a3d82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9a3d82"/>
    <w:pPr>
      <w:tabs>
        <w:tab w:val="left" w:pos="1134" w:leader="none"/>
      </w:tabs>
      <w:spacing w:lineRule="auto" w:line="360"/>
      <w:ind w:left="1134" w:hanging="0"/>
      <w:jc w:val="both"/>
    </w:pPr>
    <w:rPr>
      <w:sz w:val="28"/>
      <w:szCs w:val="28"/>
    </w:rPr>
  </w:style>
  <w:style w:type="paragraph" w:styleId="BodyText3">
    <w:name w:val="Body Text 3"/>
    <w:basedOn w:val="Normal"/>
    <w:link w:val="32"/>
    <w:uiPriority w:val="99"/>
    <w:qFormat/>
    <w:rsid w:val="009a3d82"/>
    <w:pPr>
      <w:spacing w:lineRule="auto" w:line="360" w:before="0" w:after="120"/>
      <w:ind w:firstLine="567"/>
      <w:jc w:val="both"/>
    </w:pPr>
    <w:rPr>
      <w:sz w:val="16"/>
      <w:szCs w:val="16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9a3d82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>
    <w:name w:val="Footnote Text"/>
    <w:basedOn w:val="Normal"/>
    <w:link w:val="Style20"/>
    <w:rsid w:val="009a3d82"/>
    <w:pPr/>
    <w:rPr>
      <w:sz w:val="20"/>
      <w:szCs w:val="20"/>
    </w:rPr>
  </w:style>
  <w:style w:type="paragraph" w:styleId="DocumentMap">
    <w:name w:val="Document Map"/>
    <w:basedOn w:val="Normal"/>
    <w:link w:val="Style23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BlockText">
    <w:name w:val="Block Text"/>
    <w:basedOn w:val="Normal"/>
    <w:uiPriority w:val="99"/>
    <w:qFormat/>
    <w:rsid w:val="009a3d82"/>
    <w:pPr>
      <w:widowControl w:val="false"/>
      <w:spacing w:lineRule="auto" w:line="259" w:before="240" w:after="0"/>
      <w:ind w:left="560" w:right="-66" w:firstLine="560"/>
      <w:jc w:val="both"/>
    </w:pPr>
    <w:rPr/>
  </w:style>
  <w:style w:type="paragraph" w:styleId="Style45" w:customStyle="1">
    <w:name w:val="служебная информация"/>
    <w:basedOn w:val="Normal"/>
    <w:uiPriority w:val="99"/>
    <w:qFormat/>
    <w:rsid w:val="009a3d82"/>
    <w:pPr>
      <w:tabs>
        <w:tab w:val="left" w:pos="4335" w:leader="none"/>
      </w:tabs>
      <w:ind w:left="1800" w:right="900" w:hanging="1800"/>
    </w:pPr>
    <w:rPr>
      <w:rFonts w:ascii="Arial" w:hAnsi="Arial" w:cs="Arial"/>
      <w:sz w:val="16"/>
      <w:szCs w:val="16"/>
    </w:rPr>
  </w:style>
  <w:style w:type="paragraph" w:styleId="Style46" w:customStyle="1">
    <w:name w:val="Подпункт"/>
    <w:basedOn w:val="Style38"/>
    <w:qFormat/>
    <w:rsid w:val="009a3d82"/>
    <w:pPr>
      <w:tabs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link w:val="24"/>
    <w:uiPriority w:val="99"/>
    <w:qFormat/>
    <w:rsid w:val="009a3d82"/>
    <w:pPr>
      <w:keepNext w:val="true"/>
      <w:tabs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9a3d82"/>
    <w:pPr>
      <w:spacing w:before="0" w:after="0"/>
      <w:ind w:left="720" w:hanging="0"/>
      <w:contextualSpacing/>
    </w:pPr>
    <w:rPr/>
  </w:style>
  <w:style w:type="paragraph" w:styleId="10" w:customStyle="1">
    <w:name w:val="Основной текст10"/>
    <w:basedOn w:val="Normal"/>
    <w:link w:val="Style26"/>
    <w:qFormat/>
    <w:rsid w:val="009a3d82"/>
    <w:pPr/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32" w:customStyle="1">
    <w:name w:val="Основной текст (13)"/>
    <w:basedOn w:val="Normal"/>
    <w:link w:val="131"/>
    <w:qFormat/>
    <w:rsid w:val="009a3d82"/>
    <w:pPr/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0cxspmiddle" w:customStyle="1">
    <w:name w:val="10cxspmiddle"/>
    <w:basedOn w:val="Normal"/>
    <w:qFormat/>
    <w:rsid w:val="009a3d82"/>
    <w:pPr>
      <w:spacing w:beforeAutospacing="1" w:afterAutospacing="1"/>
    </w:pPr>
    <w:rPr/>
  </w:style>
  <w:style w:type="paragraph" w:styleId="10cxsplast" w:customStyle="1">
    <w:name w:val="10cxsplast"/>
    <w:basedOn w:val="Normal"/>
    <w:qFormat/>
    <w:rsid w:val="009a3d82"/>
    <w:pPr>
      <w:spacing w:beforeAutospacing="1" w:afterAutospacing="1"/>
    </w:pPr>
    <w:rPr/>
  </w:style>
  <w:style w:type="paragraph" w:styleId="Style47">
    <w:name w:val="Index Heading"/>
    <w:basedOn w:val="Style28"/>
    <w:pPr/>
    <w:rPr/>
  </w:style>
  <w:style w:type="paragraph" w:styleId="TOCHeading">
    <w:name w:val="TOC Heading"/>
    <w:basedOn w:val="1"/>
    <w:next w:val="Normal"/>
    <w:uiPriority w:val="39"/>
    <w:unhideWhenUsed/>
    <w:qFormat/>
    <w:rsid w:val="009a3d82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autoRedefine/>
    <w:uiPriority w:val="39"/>
    <w:unhideWhenUsed/>
    <w:rsid w:val="009a3d82"/>
    <w:pPr>
      <w:tabs>
        <w:tab w:val="right" w:pos="10336" w:leader="dot"/>
      </w:tabs>
      <w:ind w:left="-851" w:hanging="0"/>
    </w:pPr>
    <w:rPr/>
  </w:style>
  <w:style w:type="paragraph" w:styleId="110" w:customStyle="1">
    <w:name w:val="Таблица 1"/>
    <w:basedOn w:val="Normal"/>
    <w:link w:val="14"/>
    <w:qFormat/>
    <w:rsid w:val="009a3d82"/>
    <w:pPr>
      <w:widowControl w:val="false"/>
      <w:ind w:right="-108" w:hanging="0"/>
    </w:pPr>
    <w:rPr>
      <w:szCs w:val="28"/>
    </w:rPr>
  </w:style>
  <w:style w:type="paragraph" w:styleId="Style48" w:customStyle="1">
    <w:name w:val="П.З."/>
    <w:basedOn w:val="Normal"/>
    <w:link w:val="Style27"/>
    <w:qFormat/>
    <w:rsid w:val="009a3d82"/>
    <w:pPr>
      <w:spacing w:lineRule="auto" w:line="360"/>
      <w:ind w:firstLine="851"/>
      <w:jc w:val="both"/>
    </w:pPr>
    <w:rPr>
      <w:sz w:val="28"/>
      <w:szCs w:val="28"/>
    </w:rPr>
  </w:style>
  <w:style w:type="paragraph" w:styleId="35" w:customStyle="1">
    <w:name w:val="Стиль3"/>
    <w:basedOn w:val="Normal"/>
    <w:link w:val="34"/>
    <w:qFormat/>
    <w:rsid w:val="009a3d82"/>
    <w:pPr>
      <w:keepLines/>
      <w:spacing w:lineRule="auto" w:line="360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111" w:customStyle="1">
    <w:name w:val="Знак Знак Знак1"/>
    <w:basedOn w:val="Normal"/>
    <w:qFormat/>
    <w:rsid w:val="009a3d82"/>
    <w:pPr>
      <w:tabs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andard" w:customStyle="1">
    <w:name w:val="Standard"/>
    <w:qFormat/>
    <w:rsid w:val="00d07dd0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Style4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0" w:customStyle="1">
    <w:name w:val="Заголовок таблицы"/>
    <w:basedOn w:val="Style49"/>
    <w:qFormat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3e6d83"/>
    <w:pPr>
      <w:suppressAutoHyphens w:val="false"/>
      <w:spacing w:beforeAutospacing="1" w:after="119"/>
    </w:pPr>
    <w:rPr>
      <w:rFonts w:ascii="Calibri" w:hAnsi="Calibri" w:cs="Calibri"/>
      <w:color w:val="000000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Нет списка1"/>
    <w:uiPriority w:val="99"/>
    <w:semiHidden/>
    <w:unhideWhenUsed/>
    <w:qFormat/>
    <w:rsid w:val="009a3d82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b">
    <w:name w:val="Table Grid"/>
    <w:basedOn w:val="a2"/>
    <w:uiPriority w:val="39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2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C860-B0B2-4EBE-A3F6-37D28A6C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Application>LibreOffice/5.3.6.1$Linux_X86_64 LibreOffice_project/30$Build-1</Application>
  <Pages>10</Pages>
  <Words>1628</Words>
  <Characters>10540</Characters>
  <CharactersWithSpaces>11712</CharactersWithSpaces>
  <Paragraphs>480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2025-06-30T07:30:00Z</dcterms:created>
  <dc:creator>Коваленко Александр Олегович</dc:creator>
  <dc:description/>
  <dc:language>ru-RU</dc:language>
  <cp:lastModifiedBy/>
  <cp:lastPrinted>2021-07-19T22:33:00Z</cp:lastPrinted>
  <dcterms:modified xsi:type="dcterms:W3CDTF">2026-02-12T08:47:44Z</dcterms:modified>
  <cp:revision>114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DRSK</vt:lpwstr>
  </property>
</Properties>
</file>